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mc="http://schemas.openxmlformats.org/markup-compatibility/2006" xmlns:r="http://schemas.openxmlformats.org/officeDocument/2006/relationships" xmlns:w="http://schemas.openxmlformats.org/wordprocessingml/2006/main" mc:Ignorable="w14 w15 wp14">
  <w:body>
    <w:p>
      <w:pPr>
        <w:spacing w:after="60" w:before="100"/>
      </w:pPr>
      <w:r>
        <w:rPr>
          <w:rFonts w:ascii="Calibri" w:cs="Calibri" w:eastAsia="Calibri" w:hAnsi="Calibri"/>
          <w:b/>
          <w:bCs/>
          <w:color w:val="2E74B5"/>
          <w:sz w:val="22"/>
          <w:szCs w:val="22"/>
        </w:rPr>
        <w:t xml:space="preserve">BUSINESS RESILIENCE PULSE CHECK</w:t>
      </w:r>
    </w:p>
    <w:p>
      <w:pPr>
        <w:spacing w:after="200"/>
      </w:pPr>
      <w:r>
        <w:rPr>
          <w:rFonts w:ascii="Calibri" w:cs="Calibri" w:eastAsia="Calibri" w:hAnsi="Calibri"/>
          <w:b/>
          <w:bCs/>
          <w:color w:val="595959"/>
          <w:sz w:val="20"/>
          <w:szCs w:val="20"/>
        </w:rPr>
        <w:t xml:space="preserve">PC-702</w:t>
      </w:r>
    </w:p>
    <w:p>
      <w:pPr>
        <w:spacing w:after="120"/>
      </w:pPr>
      <w:r>
        <w:rPr>
          <w:rFonts w:ascii="Calibri" w:cs="Calibri" w:eastAsia="Calibri" w:hAnsi="Calibri"/>
          <w:b/>
          <w:bCs/>
          <w:color w:val="1F3864"/>
          <w:sz w:val="52"/>
          <w:szCs w:val="52"/>
        </w:rPr>
        <w:t xml:space="preserve">Annual Renewal Proposal</w:t>
      </w:r>
    </w:p>
    <w:p>
      <w:pPr>
        <w:spacing w:after="100"/>
      </w:pPr>
      <w:r>
        <w:rPr>
          <w:rFonts w:ascii="Calibri" w:cs="Calibri" w:eastAsia="Calibri" w:hAnsi="Calibri"/>
          <w:color w:val="595959"/>
          <w:sz w:val="24"/>
          <w:szCs w:val="24"/>
        </w:rPr>
        <w:t xml:space="preserve">Next-cycle proposal template with maturity trajectory framing</w:t>
      </w:r>
    </w:p>
    <w:p>
      <w:pPr>
        <w:pBdr>
          <w:bottom w:val="single" w:color="2E74B5" w:sz="8" w:space="6"/>
        </w:pBdr>
        <w:spacing w:after="80"/>
      </w:pPr>
      <w:r>
        <w:rPr>
          <w:rFonts w:ascii="Calibri" w:cs="Calibri" w:eastAsia="Calibri" w:hAnsi="Calibri"/>
          <w:color w:val="595959"/>
          <w:sz w:val="20"/>
          <w:szCs w:val="20"/>
        </w:rPr>
        <w:t xml:space="preserve">Client-Facing Template  |  Version 1.0  |  July 2026</w:t>
      </w:r>
    </w:p>
    <w:p>
      <w:pPr>
        <w:spacing w:after="160"/>
      </w:pP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2E74B5" w:sz="24"/>
              <w:bottom w:val="none" w:color="FFFFFF" w:sz="0"/>
              <w:right w:val="none" w:color="FFFFFF" w:sz="0"/>
            </w:tcBorders>
            <w:shd w:fill="DEEBF7" w:val="clear"/>
            <w:tcMar>
              <w:top w:type="dxa" w:w="100"/>
              <w:left w:type="dxa" w:w="160"/>
              <w:bottom w:type="dxa" w:w="100"/>
              <w:right w:type="dxa" w:w="160"/>
            </w:tcMar>
          </w:tcPr>
          <w:p>
            <w:pPr>
              <w:spacing w:after="60"/>
            </w:pPr>
            <w:r>
              <w:rPr>
                <w:rFonts w:ascii="Calibri" w:cs="Calibri" w:eastAsia="Calibri" w:hAnsi="Calibri"/>
                <w:b/>
                <w:bCs/>
                <w:color w:val="2E74B5"/>
                <w:sz w:val="20"/>
                <w:szCs w:val="20"/>
              </w:rPr>
              <w:t xml:space="preserve">✎  CCUSTOMIZE: Timing</w:t>
            </w:r>
          </w:p>
          <w:p>
            <w:pPr>
              <w:spacing w:after="40" w:before="0" w:line="276"/>
            </w:pPr>
            <w:r>
              <w:rPr>
                <w:rFonts w:ascii="Calibri" w:cs="Calibri" w:eastAsia="Calibri" w:hAnsi="Calibri"/>
                <w:color w:val="404040"/>
                <w:sz w:val="20"/>
                <w:szCs w:val="20"/>
              </w:rPr>
              <w:t xml:space="preserve">Send 60–90 days after the engagement, once the client has reviewed the report, begun remediation, and experienced the value of the findings. Customize every bracketed field with the client’s actual results and progress. The annual renewal is the natural rhythm of the advisory relationship.</w:t>
            </w:r>
          </w:p>
        </w:tc>
      </w:tr>
    </w:tbl>
    <w:p>
      <w:r>
        <w:br w:type="page"/>
      </w:r>
    </w:p>
    <w:p>
      <w:pPr>
        <w:spacing w:after="120" w:before="0" w:line="276"/>
      </w:pPr>
      <w:r>
        <w:rPr>
          <w:rFonts w:ascii="Calibri" w:cs="Calibri" w:eastAsia="Calibri" w:hAnsi="Calibri"/>
          <w:color w:val="404040"/>
          <w:sz w:val="30"/>
          <w:szCs w:val="30"/>
        </w:rPr>
        <w:t xml:space="preserve"/>
      </w:r>
      <w:r>
        <w:rPr>
          <w:rFonts w:ascii="Calibri" w:cs="Calibri" w:eastAsia="Calibri" w:hAnsi="Calibri"/>
          <w:b/>
          <w:bCs/>
          <w:color w:val="404040"/>
          <w:sz w:val="30"/>
          <w:szCs w:val="30"/>
        </w:rPr>
        <w:t xml:space="preserve">Annual Pulse Check Renewal</w:t>
      </w:r>
      <w:r>
        <w:rPr>
          <w:rFonts w:ascii="Calibri" w:cs="Calibri" w:eastAsia="Calibri" w:hAnsi="Calibri"/>
          <w:color w:val="404040"/>
          <w:sz w:val="30"/>
          <w:szCs w:val="30"/>
        </w:rPr>
        <w:t xml:space="preserve"/>
      </w:r>
    </w:p>
    <w:p>
      <w:pPr>
        <w:spacing w:after="120" w:before="0" w:line="276"/>
      </w:pPr>
      <w:r>
        <w:rPr>
          <w:rFonts w:ascii="Calibri" w:cs="Calibri" w:eastAsia="Calibri" w:hAnsi="Calibri"/>
          <w:color w:val="404040"/>
          <w:sz w:val="21"/>
          <w:szCs w:val="21"/>
        </w:rPr>
        <w:t xml:space="preserve">Prepared for [CLIENT ORGANIZATION NAME]  |  [YOUR ORGANIZATION NAME]  |  [DATE]</w:t>
      </w:r>
    </w:p>
    <w:p>
      <w:pPr>
        <w:pStyle w:val="Heading2"/>
        <w:keepNext/>
        <w:spacing w:after="110" w:before="240"/>
      </w:pPr>
      <w:r>
        <w:rPr>
          <w:rFonts w:ascii="Calibri" w:cs="Calibri" w:eastAsia="Calibri" w:hAnsi="Calibri"/>
          <w:b/>
          <w:bCs/>
          <w:color w:val="2E74B5"/>
          <w:sz w:val="25"/>
          <w:szCs w:val="25"/>
        </w:rPr>
        <w:t xml:space="preserve">1. Where We Started</w:t>
      </w:r>
    </w:p>
    <w:p>
      <w:pPr>
        <w:spacing w:after="120" w:before="0" w:line="276"/>
      </w:pPr>
      <w:r>
        <w:rPr>
          <w:rFonts w:ascii="Calibri" w:cs="Calibri" w:eastAsia="Calibri" w:hAnsi="Calibri"/>
          <w:color w:val="404040"/>
          <w:sz w:val="21"/>
          <w:szCs w:val="21"/>
        </w:rPr>
        <w:t xml:space="preserve">On [DATE], [CLIENT NAME]’s leadership team completed a Business Resilience Pulse Check focused on [scenario type]. The exercise produced [X] findings across [Y] capability areas. Since then, [brief summary of remediation progress ,  reference specific completed actions where known].</w:t>
      </w:r>
    </w:p>
    <w:p>
      <w:pPr>
        <w:pStyle w:val="Heading2"/>
        <w:keepNext/>
        <w:spacing w:after="110" w:before="240"/>
      </w:pPr>
      <w:r>
        <w:rPr>
          <w:rFonts w:ascii="Calibri" w:cs="Calibri" w:eastAsia="Calibri" w:hAnsi="Calibri"/>
          <w:b/>
          <w:bCs/>
          <w:color w:val="2E74B5"/>
          <w:sz w:val="25"/>
          <w:szCs w:val="25"/>
        </w:rPr>
        <w:t xml:space="preserve">2. Why Annual Measurement Matters</w:t>
      </w:r>
    </w:p>
    <w:p>
      <w:pPr>
        <w:spacing w:after="120" w:before="0" w:line="276"/>
      </w:pPr>
      <w:r>
        <w:rPr>
          <w:rFonts w:ascii="Calibri" w:cs="Calibri" w:eastAsia="Calibri" w:hAnsi="Calibri"/>
          <w:color w:val="404040"/>
          <w:sz w:val="21"/>
          <w:szCs w:val="21"/>
        </w:rPr>
        <w:t xml:space="preserve">A single Pulse Check establishes a baseline. Annual Pulse Checks track your maturity trajectory. Each cycle:</w:t>
      </w:r>
    </w:p>
    <w:p>
      <w:pPr>
        <w:pStyle w:val="ListParagraph"/>
        <w:numPr>
          <w:ilvl w:val="0"/>
          <w:numId w:val="2"/>
        </w:numPr>
        <w:spacing w:after="80" w:line="276"/>
      </w:pPr>
      <w:r>
        <w:rPr>
          <w:rFonts w:ascii="Calibri" w:cs="Calibri" w:eastAsia="Calibri" w:hAnsi="Calibri"/>
          <w:color w:val="404040"/>
          <w:sz w:val="21"/>
          <w:szCs w:val="21"/>
        </w:rPr>
        <w:t xml:space="preserve">Validates that remediation investments actually improved your response capability</w:t>
      </w:r>
    </w:p>
    <w:p>
      <w:pPr>
        <w:pStyle w:val="ListParagraph"/>
        <w:numPr>
          <w:ilvl w:val="0"/>
          <w:numId w:val="2"/>
        </w:numPr>
        <w:spacing w:after="80" w:line="276"/>
      </w:pPr>
      <w:r>
        <w:rPr>
          <w:rFonts w:ascii="Calibri" w:cs="Calibri" w:eastAsia="Calibri" w:hAnsi="Calibri"/>
          <w:color w:val="404040"/>
          <w:sz w:val="21"/>
          <w:szCs w:val="21"/>
        </w:rPr>
        <w:t xml:space="preserve">Tests a scenario your team hasn’t practiced ,  a different threat category reveals different gaps</w:t>
      </w:r>
    </w:p>
    <w:p>
      <w:pPr>
        <w:pStyle w:val="ListParagraph"/>
        <w:numPr>
          <w:ilvl w:val="0"/>
          <w:numId w:val="2"/>
        </w:numPr>
        <w:spacing w:after="80" w:line="276"/>
      </w:pPr>
      <w:r>
        <w:rPr>
          <w:rFonts w:ascii="Calibri" w:cs="Calibri" w:eastAsia="Calibri" w:hAnsi="Calibri"/>
          <w:color w:val="404040"/>
          <w:sz w:val="21"/>
          <w:szCs w:val="21"/>
        </w:rPr>
        <w:t xml:space="preserve">Maintains compliance evidence for frameworks requiring periodic testing</w:t>
      </w:r>
    </w:p>
    <w:p>
      <w:pPr>
        <w:pStyle w:val="ListParagraph"/>
        <w:numPr>
          <w:ilvl w:val="0"/>
          <w:numId w:val="2"/>
        </w:numPr>
        <w:spacing w:after="80" w:line="276"/>
      </w:pPr>
      <w:r>
        <w:rPr>
          <w:rFonts w:ascii="Calibri" w:cs="Calibri" w:eastAsia="Calibri" w:hAnsi="Calibri"/>
          <w:color w:val="404040"/>
          <w:sz w:val="21"/>
          <w:szCs w:val="21"/>
        </w:rPr>
        <w:t xml:space="preserve">Strengthens your insurance documentation portfolio (carrier impacts vary ,  ask your broker)</w:t>
      </w:r>
    </w:p>
    <w:p>
      <w:pPr>
        <w:pStyle w:val="ListParagraph"/>
        <w:numPr>
          <w:ilvl w:val="0"/>
          <w:numId w:val="2"/>
        </w:numPr>
        <w:spacing w:after="80" w:line="276"/>
      </w:pPr>
      <w:r>
        <w:rPr>
          <w:rFonts w:ascii="Calibri" w:cs="Calibri" w:eastAsia="Calibri" w:hAnsi="Calibri"/>
          <w:color w:val="404040"/>
          <w:sz w:val="21"/>
          <w:szCs w:val="21"/>
        </w:rPr>
        <w:t xml:space="preserve">Demonstrates to your board that resilience investment produces measurable progress</w:t>
      </w:r>
    </w:p>
    <w:p>
      <w:pPr>
        <w:pStyle w:val="Heading2"/>
        <w:keepNext/>
        <w:spacing w:after="110" w:before="240"/>
      </w:pPr>
      <w:r>
        <w:rPr>
          <w:rFonts w:ascii="Calibri" w:cs="Calibri" w:eastAsia="Calibri" w:hAnsi="Calibri"/>
          <w:b/>
          <w:bCs/>
          <w:color w:val="2E74B5"/>
          <w:sz w:val="25"/>
          <w:szCs w:val="25"/>
        </w:rPr>
        <w:t xml:space="preserve">3. Recommended Next Engagement</w:t>
      </w:r>
    </w:p>
    <w:p>
      <w:pPr>
        <w:pStyle w:val="Heading3"/>
        <w:keepNext/>
        <w:spacing w:after="90" w:before="200"/>
      </w:pPr>
      <w:r>
        <w:rPr>
          <w:rFonts w:ascii="Calibri" w:cs="Calibri" w:eastAsia="Calibri" w:hAnsi="Calibri"/>
          <w:b/>
          <w:bCs/>
          <w:color w:val="1F3864"/>
          <w:sz w:val="22"/>
          <w:szCs w:val="22"/>
        </w:rPr>
        <w:t xml:space="preserve">Option A: Next Pulse Check ,  New Scenario</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2400"/>
        <w:gridCol w:w="6960"/>
      </w:tblGrid>
      <w:tr>
        <w:trPr>
          <w:tblHeader/>
        </w:trPr>
        <w:tc>
          <w:tcPr>
            <w:tcW w:type="dxa" w:w="24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Element</w:t>
            </w:r>
          </w:p>
        </w:tc>
        <w:tc>
          <w:tcPr>
            <w:tcW w:type="dxa" w:w="69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Detail</w:t>
            </w:r>
          </w:p>
        </w:tc>
      </w:tr>
      <w:tr>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Scenario</w:t>
            </w:r>
          </w:p>
        </w:tc>
        <w:tc>
          <w:tcPr>
            <w:tcW w:type="dxa" w:w="69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[RECOMMENDED SCENARIO]</w:t>
            </w:r>
          </w:p>
        </w:tc>
      </w:tr>
      <w:tr>
        <w:tc>
          <w:tcPr>
            <w:tcW w:type="dxa" w:w="24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Rationale</w:t>
            </w:r>
          </w:p>
        </w:tc>
        <w:tc>
          <w:tcPr>
            <w:tcW w:type="dxa" w:w="69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[Why this scenario is next, based on prior findings and the client’s evolving risk profile]</w:t>
            </w:r>
          </w:p>
        </w:tc>
      </w:tr>
      <w:tr>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Duration</w:t>
            </w:r>
          </w:p>
        </w:tc>
        <w:tc>
          <w:tcPr>
            <w:tcW w:type="dxa" w:w="69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2–3 hours</w:t>
            </w:r>
          </w:p>
        </w:tc>
      </w:tr>
      <w:tr>
        <w:tc>
          <w:tcPr>
            <w:tcW w:type="dxa" w:w="24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Timing</w:t>
            </w:r>
          </w:p>
        </w:tc>
        <w:tc>
          <w:tcPr>
            <w:tcW w:type="dxa" w:w="69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[X] months after your last Pulse Check</w:t>
            </w:r>
          </w:p>
        </w:tc>
      </w:tr>
      <w:tr>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Investment</w:t>
            </w:r>
          </w:p>
        </w:tc>
        <w:tc>
          <w:tcPr>
            <w:tcW w:type="dxa" w:w="69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$[AMOUNT]</w:t>
            </w:r>
          </w:p>
        </w:tc>
      </w:tr>
    </w:tbl>
    <w:p>
      <w:pPr>
        <w:pStyle w:val="Heading3"/>
        <w:keepNext/>
        <w:spacing w:after="90" w:before="200"/>
      </w:pPr>
      <w:r>
        <w:rPr>
          <w:rFonts w:ascii="Calibri" w:cs="Calibri" w:eastAsia="Calibri" w:hAnsi="Calibri"/>
          <w:b/>
          <w:bCs/>
          <w:color w:val="1F3864"/>
          <w:sz w:val="22"/>
          <w:szCs w:val="22"/>
        </w:rPr>
        <w:t xml:space="preserve">Option B: Annual Program</w:t>
      </w:r>
    </w:p>
    <w:p>
      <w:pPr>
        <w:spacing w:after="120" w:before="0" w:line="276"/>
      </w:pPr>
      <w:r>
        <w:rPr>
          <w:rFonts w:ascii="Calibri" w:cs="Calibri" w:eastAsia="Calibri" w:hAnsi="Calibri"/>
          <w:color w:val="404040"/>
          <w:sz w:val="21"/>
          <w:szCs w:val="21"/>
        </w:rPr>
        <w:t xml:space="preserve">For organizations committed to continuous resilience improvement ,  multiple exercises per year with maturity tracking, remediation monitoring, and board-ready reporting.</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2900"/>
        <w:gridCol w:w="4460"/>
        <w:gridCol w:w="2000"/>
      </w:tblGrid>
      <w:tr>
        <w:trPr>
          <w:tblHeader/>
        </w:trPr>
        <w:tc>
          <w:tcPr>
            <w:tcW w:type="dxa" w:w="29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Program</w:t>
            </w:r>
          </w:p>
        </w:tc>
        <w:tc>
          <w:tcPr>
            <w:tcW w:type="dxa" w:w="44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Includes</w:t>
            </w:r>
          </w:p>
        </w:tc>
        <w:tc>
          <w:tcPr>
            <w:tcW w:type="dxa" w:w="20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Investment</w:t>
            </w:r>
          </w:p>
        </w:tc>
      </w:tr>
      <w:tr>
        <w:tc>
          <w:tcPr>
            <w:tcW w:type="dxa" w:w="2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2-exercise annual program</w:t>
            </w:r>
          </w:p>
        </w:tc>
        <w:tc>
          <w:tcPr>
            <w:tcW w:type="dxa" w:w="44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Two Pulse Checks on different scenario categories, with maturity tracking</w:t>
            </w:r>
          </w:p>
        </w:tc>
        <w:tc>
          <w:tcPr>
            <w:tcW w:type="dxa" w:w="20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$[AMOUNT] ([X]% savings)</w:t>
            </w:r>
          </w:p>
        </w:tc>
      </w:tr>
      <w:tr>
        <w:tc>
          <w:tcPr>
            <w:tcW w:type="dxa" w:w="2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4-exercise quarterly program</w:t>
            </w:r>
          </w:p>
        </w:tc>
        <w:tc>
          <w:tcPr>
            <w:tcW w:type="dxa" w:w="44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Quarterly Pulse Checks with progressive complexity and an annual review presentation</w:t>
            </w:r>
          </w:p>
        </w:tc>
        <w:tc>
          <w:tcPr>
            <w:tcW w:type="dxa" w:w="20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$[AMOUNT] ([X]% savings)</w:t>
            </w:r>
          </w:p>
        </w:tc>
      </w:tr>
    </w:tbl>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CC0000" w:sz="24"/>
              <w:bottom w:val="none" w:color="FFFFFF" w:sz="0"/>
              <w:right w:val="none" w:color="FFFFFF" w:sz="0"/>
            </w:tcBorders>
            <w:shd w:fill="FFF2F2" w:val="clear"/>
            <w:tcMar>
              <w:top w:type="dxa" w:w="100"/>
              <w:left w:type="dxa" w:w="160"/>
              <w:bottom w:type="dxa" w:w="100"/>
              <w:right w:type="dxa" w:w="160"/>
            </w:tcMar>
          </w:tcPr>
          <w:p>
            <w:pPr>
              <w:spacing w:after="60"/>
            </w:pPr>
            <w:r>
              <w:rPr>
                <w:rFonts w:ascii="Calibri" w:cs="Calibri" w:eastAsia="Calibri" w:hAnsi="Calibri"/>
                <w:b/>
                <w:bCs/>
                <w:color w:val="CC0000"/>
                <w:sz w:val="20"/>
                <w:szCs w:val="20"/>
              </w:rPr>
              <w:t xml:space="preserve">⚖ CCONSULT LEGAL COUNSEL: Renewal Terms Require Same Protections</w:t>
            </w:r>
          </w:p>
          <w:p>
            <w:pPr>
              <w:spacing w:after="40" w:before="0" w:line="276"/>
            </w:pPr>
            <w:r>
              <w:rPr>
                <w:rFonts w:ascii="Calibri" w:cs="Calibri" w:eastAsia="Calibri" w:hAnsi="Calibri"/>
                <w:color w:val="404040"/>
                <w:sz w:val="20"/>
                <w:szCs w:val="20"/>
              </w:rPr>
              <w:t xml:space="preserve">This renewal proposal quotes pricing and may propose multi-engagement commitments. Upon client acceptance, these terms may be binding. Ensure this proposal references your standard SOW terms for cancellation, rescheduling, liability limitations, and scope exclusions ,  or include them directly. A renewal proposal without the same protections as your original engagement terms creates unintended liability exposure.</w:t>
            </w:r>
          </w:p>
        </w:tc>
      </w:tr>
    </w:tbl>
    <w:p>
      <w:pPr>
        <w:pStyle w:val="Heading2"/>
        <w:keepNext/>
        <w:spacing w:after="110" w:before="240"/>
      </w:pPr>
      <w:r>
        <w:rPr>
          <w:rFonts w:ascii="Calibri" w:cs="Calibri" w:eastAsia="Calibri" w:hAnsi="Calibri"/>
          <w:b/>
          <w:bCs/>
          <w:color w:val="2E74B5"/>
          <w:sz w:val="25"/>
          <w:szCs w:val="25"/>
        </w:rPr>
        <w:t xml:space="preserve">4. Your Resilience Trajectory</w:t>
      </w:r>
    </w:p>
    <w:p>
      <w:pPr>
        <w:pStyle w:val="ListParagraph"/>
        <w:numPr>
          <w:ilvl w:val="0"/>
          <w:numId w:val="2"/>
        </w:numPr>
        <w:spacing w:after="8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Year 1:</w:t>
      </w:r>
      <w:r>
        <w:rPr>
          <w:rFonts w:ascii="Calibri" w:cs="Calibri" w:eastAsia="Calibri" w:hAnsi="Calibri"/>
          <w:color w:val="404040"/>
          <w:sz w:val="21"/>
          <w:szCs w:val="21"/>
        </w:rPr>
        <w:t xml:space="preserve"> Baseline established. Critical and High gaps identified. Remediation roadmap created.</w:t>
      </w:r>
    </w:p>
    <w:p>
      <w:pPr>
        <w:pStyle w:val="ListParagraph"/>
        <w:numPr>
          <w:ilvl w:val="0"/>
          <w:numId w:val="2"/>
        </w:numPr>
        <w:spacing w:after="8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Year 2:</w:t>
      </w:r>
      <w:r>
        <w:rPr>
          <w:rFonts w:ascii="Calibri" w:cs="Calibri" w:eastAsia="Calibri" w:hAnsi="Calibri"/>
          <w:color w:val="404040"/>
          <w:sz w:val="21"/>
          <w:szCs w:val="21"/>
        </w:rPr>
        <w:t xml:space="preserve"> Prior remediation validated under a new scenario. New dimensions of resilience measured.</w:t>
      </w:r>
    </w:p>
    <w:p>
      <w:pPr>
        <w:pStyle w:val="ListParagraph"/>
        <w:numPr>
          <w:ilvl w:val="0"/>
          <w:numId w:val="2"/>
        </w:numPr>
        <w:spacing w:after="8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Year 3 and beyond:</w:t>
      </w:r>
      <w:r>
        <w:rPr>
          <w:rFonts w:ascii="Calibri" w:cs="Calibri" w:eastAsia="Calibri" w:hAnsi="Calibri"/>
          <w:color w:val="404040"/>
          <w:sz w:val="21"/>
          <w:szCs w:val="21"/>
        </w:rPr>
        <w:t xml:space="preserve"> Maturity measured over time. Your board sees documented improvement. Your insurer sees diligence. Your customers see a resilient partner.</w:t>
      </w:r>
    </w:p>
    <w:p>
      <w:pPr>
        <w:spacing w:after="120" w:before="0" w:line="276"/>
      </w:pPr>
      <w:r>
        <w:rPr>
          <w:rFonts w:ascii="Calibri" w:cs="Calibri" w:eastAsia="Calibri" w:hAnsi="Calibri"/>
          <w:color w:val="404040"/>
          <w:sz w:val="21"/>
          <w:szCs w:val="21"/>
        </w:rPr>
        <w:t xml:space="preserve">This proposal is valid for [30] days. Contact [FACILITATOR NAME] at [EMAIL] to schedule the next cycle.</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Calibri" w:cs="Calibri" w:eastAsia="Calibri" w:hAnsi="Calibri"/>
        <w:color w:val="595959"/>
        <w:sz w:val="17"/>
        <w:szCs w:val="17"/>
      </w:rPr>
      <w:t xml:space="preserve">v1.0  ·  Page </w:t>
    </w:r>
    <w:r>
      <w:rPr>
        <w:rFonts w:ascii="Calibri" w:cs="Calibri" w:eastAsia="Calibri" w:hAnsi="Calibri"/>
        <w:color w:val="595959"/>
        <w:sz w:val="17"/>
        <w:szCs w:val="17"/>
      </w:rPr>
      <w:fldChar w:fldCharType="begin"/>
      <w:instrText xml:space="preserve">PAGE</w:instrText>
      <w:fldChar w:fldCharType="separate"/>
      <w:fldChar w:fldCharType="end"/>
    </w:r>
    <w:r>
      <w:rPr>
        <w:rFonts w:ascii="Calibri" w:cs="Calibri" w:eastAsia="Calibri" w:hAnsi="Calibri"/>
        <w:color w:val="595959"/>
        <w:sz w:val="17"/>
        <w:szCs w:val="17"/>
      </w:rPr>
      <w:t xml:space="preserve"> of </w:t>
    </w:r>
    <w:r>
      <w:rPr>
        <w:rFonts w:ascii="Calibri" w:cs="Calibri" w:eastAsia="Calibri" w:hAnsi="Calibri"/>
        <w:color w:val="595959"/>
        <w:sz w:val="17"/>
        <w:szCs w:val="17"/>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BFBFBF" w:sz="4" w:space="3"/>
      </w:pBdr>
    </w:pPr>
    <w:r>
      <w:rPr>
        <w:rFonts w:ascii="Calibri" w:cs="Calibri" w:eastAsia="Calibri" w:hAnsi="Calibri"/>
        <w:color w:val="595959"/>
        <w:sz w:val="17"/>
        <w:szCs w:val="17"/>
      </w:rPr>
      <w:t xml:space="preserve">Business Resilience Pulse Check   |   Annual Renewal Proposal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60" w:hanging="230"/>
      </w:pPr>
    </w:lvl>
  </w:abstractNum>
  <w:abstractNum w:abstractNumId="3" w15:restartNumberingAfterBreak="0">
    <w:multiLevelType w:val="hybridMultilevel"/>
    <w:lvl w:ilvl="0" w15:tentative="1">
      <w:start w:val="1"/>
      <w:numFmt w:val="decimal"/>
      <w:lvlText w:val="%1."/>
      <w:lvlJc w:val="left"/>
      <w:pPr>
        <w:ind w:left="460" w:hanging="320"/>
      </w:pPr>
    </w:lvl>
  </w:abstractNum>
  <w:abstractNum w:abstractNumId="4" w15:restartNumberingAfterBreak="0">
    <w:multiLevelType w:val="hybridMultilevel"/>
    <w:lvl w:ilvl="0" w15:tentative="1">
      <w:start w:val="1"/>
      <w:numFmt w:val="decimal"/>
      <w:lvlText w:val="%1."/>
      <w:lvlJc w:val="left"/>
      <w:pPr>
        <w:ind w:left="460" w:hanging="320"/>
      </w:pPr>
    </w:lvl>
  </w:abstractNum>
  <w:abstractNum w:abstractNumId="5" w15:restartNumberingAfterBreak="0">
    <w:multiLevelType w:val="hybridMultilevel"/>
    <w:lvl w:ilvl="0" w15:tentative="1">
      <w:start w:val="1"/>
      <w:numFmt w:val="decimal"/>
      <w:lvlText w:val="%1."/>
      <w:lvlJc w:val="left"/>
      <w:pPr>
        <w:ind w:left="460" w:hanging="320"/>
      </w:pPr>
    </w:lvl>
  </w:abstractNum>
  <w:abstractNum w:abstractNumId="6" w15:restartNumberingAfterBreak="0">
    <w:multiLevelType w:val="hybridMultilevel"/>
    <w:lvl w:ilvl="0" w15:tentative="1">
      <w:start w:val="1"/>
      <w:numFmt w:val="decimal"/>
      <w:lvlText w:val="%1."/>
      <w:lvlJc w:val="left"/>
      <w:pPr>
        <w:ind w:left="460" w:hanging="320"/>
      </w:pPr>
    </w:lvl>
  </w:abstractNum>
  <w:abstractNum w:abstractNumId="7" w15:restartNumberingAfterBreak="0">
    <w:multiLevelType w:val="hybridMultilevel"/>
    <w:lvl w:ilvl="0" w15:tentative="1">
      <w:start w:val="1"/>
      <w:numFmt w:val="decimal"/>
      <w:lvlText w:val="%1."/>
      <w:lvlJc w:val="left"/>
      <w:pPr>
        <w:ind w:left="460" w:hanging="320"/>
      </w:pPr>
    </w:lvl>
  </w:abstractNum>
  <w:abstractNum w:abstractNumId="8" w15:restartNumberingAfterBreak="0">
    <w:multiLevelType w:val="hybridMultilevel"/>
    <w:lvl w:ilvl="0" w15:tentative="1">
      <w:start w:val="1"/>
      <w:numFmt w:val="decimal"/>
      <w:lvlText w:val="%1."/>
      <w:lvlJc w:val="left"/>
      <w:pPr>
        <w:ind w:left="460" w:hanging="320"/>
      </w:pPr>
    </w:lvl>
  </w:abstractNum>
  <w:abstractNum w:abstractNumId="9" w15:restartNumberingAfterBreak="0">
    <w:multiLevelType w:val="hybridMultilevel"/>
    <w:lvl w:ilvl="0" w15:tentative="1">
      <w:start w:val="1"/>
      <w:numFmt w:val="decimal"/>
      <w:lvlText w:val="%1."/>
      <w:lvlJc w:val="left"/>
      <w:pPr>
        <w:ind w:left="460" w:hanging="320"/>
      </w:pPr>
    </w:lvl>
  </w:abstractNum>
  <w:abstractNum w:abstractNumId="10" w15:restartNumberingAfterBreak="0">
    <w:multiLevelType w:val="hybridMultilevel"/>
    <w:lvl w:ilvl="0" w15:tentative="1">
      <w:start w:val="1"/>
      <w:numFmt w:val="decimal"/>
      <w:lvlText w:val="%1."/>
      <w:lvlJc w:val="left"/>
      <w:pPr>
        <w:ind w:left="460" w:hanging="32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404040"/>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outlineLvl w:val="0"/>
    </w:pPr>
    <w:rPr>
      <w:rFonts w:ascii="Calibri" w:cs="Calibri" w:eastAsia="Calibri" w:hAnsi="Calibri"/>
      <w:b/>
      <w:bCs/>
      <w:color w:val="1F3864"/>
      <w:sz w:val="30"/>
      <w:szCs w:val="30"/>
    </w:rPr>
  </w:style>
  <w:style w:type="paragraph" w:styleId="Heading2">
    <w:name w:val="Heading 2"/>
    <w:basedOn w:val="Normal"/>
    <w:next w:val="Normal"/>
    <w:qFormat/>
    <w:pPr>
      <w:outlineLvl w:val="1"/>
    </w:pPr>
    <w:rPr>
      <w:rFonts w:ascii="Calibri" w:cs="Calibri" w:eastAsia="Calibri" w:hAnsi="Calibri"/>
      <w:b/>
      <w:bCs/>
      <w:color w:val="2E74B5"/>
      <w:sz w:val="25"/>
      <w:szCs w:val="25"/>
    </w:rPr>
  </w:style>
  <w:style w:type="paragraph" w:styleId="Heading3">
    <w:name w:val="Heading 3"/>
    <w:basedOn w:val="Normal"/>
    <w:next w:val="Normal"/>
    <w:qFormat/>
    <w:pPr>
      <w:outlineLvl w:val="2"/>
    </w:pPr>
    <w:rPr>
      <w:rFonts w:ascii="Calibri" w:cs="Calibri" w:eastAsia="Calibri" w:hAnsi="Calibri"/>
      <w:b/>
      <w:bCs/>
      <w:color w:val="1F3864"/>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2026-07-14T20:14:25.131Z</dcterms:created>
  <dcterms:modified xsi:type="dcterms:W3CDTF">2026-07-14T20:14:25.131Z</dcterms:modified>
</cp:coreProperties>
</file>

<file path=docProps/custom.xml><?xml version="1.0" encoding="utf-8"?>
<Properties xmlns="http://schemas.openxmlformats.org/officeDocument/2006/custom-properties" xmlns:vt="http://schemas.openxmlformats.org/officeDocument/2006/docPropsVTypes"/>
</file>